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133D5">
        <w:rPr>
          <w:sz w:val="28"/>
          <w:szCs w:val="28"/>
        </w:rPr>
        <w:t>июня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EB3196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2A6485" w:rsidRDefault="00B5314E" w:rsidP="002A6485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2A6485" w:rsidRPr="002A6485">
        <w:rPr>
          <w:b/>
          <w:bCs/>
          <w:sz w:val="32"/>
          <w:szCs w:val="32"/>
        </w:rPr>
        <w:t xml:space="preserve">на поставку счетчиков </w:t>
      </w:r>
    </w:p>
    <w:p w:rsidR="00334027" w:rsidRPr="002A6485" w:rsidRDefault="002A6485" w:rsidP="002A6485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2A6485">
        <w:rPr>
          <w:b/>
          <w:bCs/>
          <w:sz w:val="32"/>
          <w:szCs w:val="32"/>
        </w:rPr>
        <w:t>и комплектующих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Pr="00334027" w:rsidRDefault="002A6485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B3196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2A6485" w:rsidRPr="00D95B72">
        <w:rPr>
          <w:bCs/>
          <w:iCs/>
        </w:rPr>
        <w:t>на поставку счетчиков и комплекту</w:t>
      </w:r>
      <w:r w:rsidR="002A6485" w:rsidRPr="00D95B72">
        <w:rPr>
          <w:bCs/>
          <w:iCs/>
        </w:rPr>
        <w:t>ю</w:t>
      </w:r>
      <w:r w:rsidR="002A6485" w:rsidRPr="00D95B72">
        <w:rPr>
          <w:bCs/>
          <w:iCs/>
        </w:rPr>
        <w:t>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 xml:space="preserve">Кемеровская область, г. </w:t>
      </w:r>
      <w:r w:rsidR="009133D5">
        <w:rPr>
          <w:bCs/>
          <w:iCs/>
        </w:rPr>
        <w:t>Киселевск, ул. Боевая, 27а</w:t>
      </w:r>
      <w:r>
        <w:rPr>
          <w:bCs/>
          <w:iCs/>
        </w:rPr>
        <w:t>.</w:t>
      </w:r>
    </w:p>
    <w:p w:rsidR="00B5314E" w:rsidRPr="00334027" w:rsidRDefault="00B5314E" w:rsidP="00B74539">
      <w:pPr>
        <w:spacing w:after="0"/>
        <w:ind w:firstLine="708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E8539A">
        <w:rPr>
          <w:b/>
        </w:rPr>
        <w:t>270</w:t>
      </w:r>
      <w:r w:rsidR="00B74539" w:rsidRPr="00B74539">
        <w:rPr>
          <w:b/>
        </w:rPr>
        <w:t xml:space="preserve"> </w:t>
      </w:r>
      <w:r w:rsidR="00EB3196">
        <w:rPr>
          <w:b/>
        </w:rPr>
        <w:t>000</w:t>
      </w:r>
      <w:r w:rsidRPr="00671E73">
        <w:t xml:space="preserve"> </w:t>
      </w:r>
      <w:r w:rsidRPr="00F72239">
        <w:rPr>
          <w:b/>
        </w:rPr>
        <w:t>(</w:t>
      </w:r>
      <w:r w:rsidR="00E8539A">
        <w:rPr>
          <w:b/>
        </w:rPr>
        <w:t>двести семьдесят тысяч</w:t>
      </w:r>
      <w:r w:rsidRPr="00F72239">
        <w:rPr>
          <w:b/>
        </w:rPr>
        <w:t>) ру</w:t>
      </w:r>
      <w:r w:rsidRPr="00F72239">
        <w:rPr>
          <w:b/>
        </w:rPr>
        <w:t>б</w:t>
      </w:r>
      <w:r w:rsidRPr="00F72239">
        <w:rPr>
          <w:b/>
        </w:rPr>
        <w:t xml:space="preserve">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9133D5">
        <w:rPr>
          <w:spacing w:val="-6"/>
        </w:rPr>
        <w:t>2</w:t>
      </w:r>
      <w:r w:rsidR="00025A5D">
        <w:rPr>
          <w:spacing w:val="-6"/>
        </w:rPr>
        <w:t>6</w:t>
      </w:r>
      <w:r w:rsidR="0049449F">
        <w:rPr>
          <w:spacing w:val="-6"/>
        </w:rPr>
        <w:t xml:space="preserve"> </w:t>
      </w:r>
      <w:r w:rsidR="009133D5">
        <w:rPr>
          <w:spacing w:val="-6"/>
        </w:rPr>
        <w:t>июн</w:t>
      </w:r>
      <w:r w:rsidR="002A6485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9133D5">
        <w:rPr>
          <w:spacing w:val="-6"/>
        </w:rPr>
        <w:t>0</w:t>
      </w:r>
      <w:r w:rsidR="00E8539A">
        <w:rPr>
          <w:spacing w:val="-6"/>
        </w:rPr>
        <w:t>4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июл</w:t>
      </w:r>
      <w:r w:rsidR="002A6485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2A6485">
        <w:rPr>
          <w:spacing w:val="-6"/>
        </w:rPr>
        <w:t>2</w:t>
      </w:r>
      <w:r w:rsidR="00025A5D">
        <w:rPr>
          <w:spacing w:val="-6"/>
        </w:rPr>
        <w:t>6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июн</w:t>
      </w:r>
      <w:r w:rsidR="002A6485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9133D5">
        <w:rPr>
          <w:spacing w:val="-6"/>
        </w:rPr>
        <w:t>30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июн</w:t>
      </w:r>
      <w:r w:rsidR="002A6485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9133D5">
        <w:rPr>
          <w:spacing w:val="-6"/>
        </w:rPr>
        <w:t>0</w:t>
      </w:r>
      <w:r w:rsidR="00E8539A">
        <w:rPr>
          <w:spacing w:val="-6"/>
        </w:rPr>
        <w:t>4</w:t>
      </w:r>
      <w:r w:rsidR="00EB3196">
        <w:rPr>
          <w:spacing w:val="-6"/>
        </w:rPr>
        <w:t xml:space="preserve"> </w:t>
      </w:r>
      <w:r w:rsidR="009133D5">
        <w:rPr>
          <w:spacing w:val="-6"/>
        </w:rPr>
        <w:t>июл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9133D5">
        <w:rPr>
          <w:spacing w:val="-6"/>
        </w:rPr>
        <w:t>0</w:t>
      </w:r>
      <w:r w:rsidR="00E8539A">
        <w:rPr>
          <w:spacing w:val="-6"/>
        </w:rPr>
        <w:t>4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июл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9133D5">
        <w:rPr>
          <w:spacing w:val="-6"/>
        </w:rPr>
        <w:t>0</w:t>
      </w:r>
      <w:r w:rsidR="00E8539A">
        <w:rPr>
          <w:spacing w:val="-6"/>
        </w:rPr>
        <w:t>4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июл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9133D5">
        <w:t>0</w:t>
      </w:r>
      <w:r w:rsidR="00E8539A">
        <w:t>4</w:t>
      </w:r>
      <w:r w:rsidR="00B74539">
        <w:t xml:space="preserve"> </w:t>
      </w:r>
      <w:r w:rsidR="009133D5">
        <w:t>июл</w:t>
      </w:r>
      <w:r w:rsidR="002A6485"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9133D5">
        <w:rPr>
          <w:spacing w:val="-6"/>
        </w:rPr>
        <w:t>0</w:t>
      </w:r>
      <w:r w:rsidR="00E8539A">
        <w:rPr>
          <w:spacing w:val="-6"/>
        </w:rPr>
        <w:t>4</w:t>
      </w:r>
      <w:r w:rsidR="00B74539">
        <w:rPr>
          <w:spacing w:val="-6"/>
        </w:rPr>
        <w:t xml:space="preserve"> </w:t>
      </w:r>
      <w:r w:rsidR="009133D5">
        <w:rPr>
          <w:spacing w:val="-6"/>
        </w:rPr>
        <w:t>июл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A844A8" w:rsidRDefault="00A844A8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E8539A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2A6485" w:rsidRPr="00D95B72">
              <w:rPr>
                <w:bCs/>
                <w:iCs/>
              </w:rPr>
              <w:t>на поставку счетчиков и компле</w:t>
            </w:r>
            <w:r w:rsidR="002A6485" w:rsidRPr="00D95B72">
              <w:rPr>
                <w:bCs/>
                <w:iCs/>
              </w:rPr>
              <w:t>к</w:t>
            </w:r>
            <w:r w:rsidR="002A6485" w:rsidRPr="00D95B72">
              <w:rPr>
                <w:bCs/>
                <w:iCs/>
              </w:rPr>
              <w:t>тующих</w:t>
            </w:r>
            <w:r w:rsidR="002A6485" w:rsidRPr="00041458">
              <w:rPr>
                <w:bCs/>
                <w:iCs/>
              </w:rPr>
              <w:t xml:space="preserve"> </w:t>
            </w:r>
            <w:r w:rsidR="002A6485" w:rsidRPr="00D95B72">
              <w:rPr>
                <w:bCs/>
                <w:iCs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9A" w:rsidRPr="008333BB" w:rsidRDefault="00E8539A" w:rsidP="00E8539A">
            <w:pPr>
              <w:tabs>
                <w:tab w:val="left" w:pos="1134"/>
              </w:tabs>
              <w:spacing w:after="0"/>
              <w:contextualSpacing/>
              <w:rPr>
                <w:color w:val="FF0000"/>
              </w:rPr>
            </w:pPr>
            <w:bookmarkStart w:id="22" w:name="_GoBack"/>
            <w:bookmarkEnd w:id="22"/>
            <w:r>
              <w:rPr>
                <w:b/>
              </w:rPr>
              <w:t>270</w:t>
            </w:r>
            <w:r w:rsidRPr="00B74539">
              <w:rPr>
                <w:b/>
              </w:rPr>
              <w:t xml:space="preserve"> </w:t>
            </w:r>
            <w:r>
              <w:rPr>
                <w:b/>
              </w:rPr>
              <w:t>000</w:t>
            </w:r>
            <w:r w:rsidRPr="00671E73">
              <w:t xml:space="preserve"> </w:t>
            </w:r>
            <w:r w:rsidRPr="00F72239">
              <w:rPr>
                <w:b/>
              </w:rPr>
              <w:t>(</w:t>
            </w:r>
            <w:r>
              <w:rPr>
                <w:b/>
              </w:rPr>
              <w:t>двести семьдесят тысяч</w:t>
            </w:r>
            <w:r w:rsidRPr="00F72239">
              <w:rPr>
                <w:b/>
              </w:rPr>
              <w:t xml:space="preserve">) рублей </w:t>
            </w:r>
            <w:r>
              <w:rPr>
                <w:b/>
              </w:rPr>
              <w:t>00</w:t>
            </w:r>
            <w:r w:rsidRPr="00F72239">
              <w:rPr>
                <w:b/>
              </w:rPr>
              <w:t xml:space="preserve"> коп</w:t>
            </w:r>
            <w:r w:rsidRPr="00F72239">
              <w:rPr>
                <w:b/>
              </w:rPr>
              <w:t>е</w:t>
            </w:r>
            <w:r w:rsidRPr="00F72239">
              <w:rPr>
                <w:b/>
              </w:rPr>
              <w:t>ек, с учетом НДС 20%.</w:t>
            </w:r>
          </w:p>
          <w:p w:rsidR="00B5314E" w:rsidRPr="00E56436" w:rsidRDefault="00B5314E" w:rsidP="009133D5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2A6485">
              <w:t>2</w:t>
            </w:r>
            <w:r w:rsidR="00025A5D">
              <w:t>6</w:t>
            </w:r>
            <w:r w:rsidRPr="00082A08">
              <w:t xml:space="preserve">» </w:t>
            </w:r>
            <w:r w:rsidR="009133D5">
              <w:t>июн</w:t>
            </w:r>
            <w:r w:rsidR="002A6485">
              <w:t>я</w:t>
            </w:r>
            <w:r w:rsidRPr="00082A08">
              <w:t xml:space="preserve"> 20</w:t>
            </w:r>
            <w:r>
              <w:t>2</w:t>
            </w:r>
            <w:r w:rsidR="00EB3196">
              <w:t>5</w:t>
            </w:r>
            <w:r w:rsidRPr="00082A08">
              <w:t xml:space="preserve"> года.</w:t>
            </w:r>
          </w:p>
          <w:p w:rsidR="00B5314E" w:rsidRPr="00082A08" w:rsidRDefault="00B5314E" w:rsidP="009133D5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9133D5">
              <w:rPr>
                <w:lang w:eastAsia="ar-SA"/>
              </w:rPr>
              <w:t>30</w:t>
            </w:r>
            <w:r w:rsidRPr="00082A08">
              <w:rPr>
                <w:lang w:eastAsia="ar-SA"/>
              </w:rPr>
              <w:t xml:space="preserve">»  </w:t>
            </w:r>
            <w:r w:rsidR="009133D5">
              <w:rPr>
                <w:lang w:eastAsia="ar-SA"/>
              </w:rPr>
              <w:t>июн</w:t>
            </w:r>
            <w:r w:rsidR="002A6485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B3196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E8539A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2A6485">
              <w:t>2</w:t>
            </w:r>
            <w:r w:rsidR="00025A5D">
              <w:t>6</w:t>
            </w:r>
            <w:r w:rsidR="00EB3196">
              <w:t xml:space="preserve"> </w:t>
            </w:r>
            <w:r w:rsidR="009133D5">
              <w:t>июн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9133D5">
              <w:t>0</w:t>
            </w:r>
            <w:r w:rsidR="00E8539A">
              <w:t>4</w:t>
            </w:r>
            <w:r w:rsidR="00EB3196">
              <w:t xml:space="preserve"> </w:t>
            </w:r>
            <w:r w:rsidR="009133D5">
              <w:t>июл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rStyle w:val="T1"/>
                <w:rFonts w:cs="Tahoma"/>
                <w:szCs w:val="20"/>
              </w:rPr>
              <w:t>Юридический и почтовый адрес:</w:t>
            </w:r>
            <w:r w:rsidRPr="000A3C35">
              <w:t xml:space="preserve"> 653053, Кемеро</w:t>
            </w:r>
            <w:r w:rsidRPr="000A3C35">
              <w:t>в</w:t>
            </w:r>
            <w:r w:rsidRPr="000A3C35">
              <w:t>ская область - Кузбасс, город Прокопьевск, ул. Га</w:t>
            </w:r>
            <w:r w:rsidRPr="000A3C35">
              <w:t>й</w:t>
            </w:r>
            <w:r w:rsidRPr="000A3C35">
              <w:t xml:space="preserve">дара, д. 43,помещение 1п 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ИНН</w:t>
            </w:r>
            <w:r w:rsidRPr="000A3C35">
              <w:t xml:space="preserve"> 4223052779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КПП</w:t>
            </w:r>
            <w:r w:rsidRPr="000A3C35">
              <w:t xml:space="preserve"> 422301001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ОГРН</w:t>
            </w:r>
            <w:r w:rsidRPr="000A3C35">
              <w:t xml:space="preserve"> 1094223000519  05.02.2009 г.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proofErr w:type="gramStart"/>
            <w:r w:rsidRPr="002A6485">
              <w:rPr>
                <w:b/>
              </w:rPr>
              <w:t>р</w:t>
            </w:r>
            <w:proofErr w:type="gramEnd"/>
            <w:r w:rsidRPr="002A6485">
              <w:rPr>
                <w:b/>
              </w:rPr>
              <w:t>/с:</w:t>
            </w:r>
            <w:r w:rsidRPr="000A3C35">
              <w:t xml:space="preserve">     </w:t>
            </w:r>
            <w:r w:rsidRPr="00A16008">
              <w:t>40702810123040001852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БИК:</w:t>
            </w:r>
            <w:r w:rsidRPr="000A3C35">
              <w:t xml:space="preserve">  </w:t>
            </w:r>
            <w:r w:rsidRPr="00A16008">
              <w:t>045004774</w:t>
            </w:r>
          </w:p>
          <w:p w:rsidR="00B5314E" w:rsidRDefault="002A6485" w:rsidP="002A6485">
            <w:pPr>
              <w:spacing w:after="0"/>
            </w:pPr>
            <w:r w:rsidRPr="002A6485">
              <w:rPr>
                <w:b/>
              </w:rPr>
              <w:t>к/с:</w:t>
            </w:r>
            <w:r w:rsidRPr="000A3C35">
              <w:t xml:space="preserve">    </w:t>
            </w:r>
            <w:r w:rsidRPr="00A16008">
              <w:t>30101810600000000774</w:t>
            </w:r>
          </w:p>
          <w:p w:rsidR="002A6485" w:rsidRPr="00F923D5" w:rsidRDefault="002A6485" w:rsidP="002A6485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Дата, время и место вскрытия конвертов </w:t>
            </w:r>
            <w:r w:rsidRPr="00082A08">
              <w:lastRenderedPageBreak/>
              <w:t>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E8539A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lastRenderedPageBreak/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B74539">
              <w:rPr>
                <w:sz w:val="24"/>
                <w:szCs w:val="24"/>
              </w:rPr>
              <w:t xml:space="preserve">    </w:t>
            </w:r>
            <w:r w:rsidRPr="00715C21">
              <w:rPr>
                <w:sz w:val="24"/>
                <w:szCs w:val="24"/>
              </w:rPr>
              <w:lastRenderedPageBreak/>
              <w:t>«</w:t>
            </w:r>
            <w:r w:rsidR="009133D5">
              <w:rPr>
                <w:sz w:val="24"/>
                <w:szCs w:val="24"/>
              </w:rPr>
              <w:t>0</w:t>
            </w:r>
            <w:r w:rsidR="00E8539A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» </w:t>
            </w:r>
            <w:r w:rsidR="009133D5">
              <w:rPr>
                <w:sz w:val="24"/>
                <w:szCs w:val="24"/>
              </w:rPr>
              <w:t>июл</w:t>
            </w:r>
            <w:r w:rsidR="002A6485">
              <w:rPr>
                <w:sz w:val="24"/>
                <w:szCs w:val="24"/>
              </w:rPr>
              <w:t>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B3196">
              <w:rPr>
                <w:sz w:val="24"/>
                <w:szCs w:val="24"/>
              </w:rPr>
              <w:t>5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B7691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</w:t>
            </w:r>
            <w:r w:rsidR="00BB7691">
              <w:t>а</w:t>
            </w:r>
            <w:r w:rsidR="00E56436">
              <w:t xml:space="preserve"> котировок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133D5">
              <w:t>0</w:t>
            </w:r>
            <w:r w:rsidR="00E8539A">
              <w:t>4</w:t>
            </w:r>
            <w:r w:rsidRPr="003B23DF">
              <w:t xml:space="preserve">» </w:t>
            </w:r>
            <w:r w:rsidR="009133D5">
              <w:t>июл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</w:t>
            </w:r>
          </w:p>
          <w:p w:rsidR="00B5314E" w:rsidRPr="003B23DF" w:rsidRDefault="00B5314E" w:rsidP="00E8539A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9133D5">
              <w:t>0</w:t>
            </w:r>
            <w:r w:rsidR="00E8539A">
              <w:t>4</w:t>
            </w:r>
            <w:r w:rsidRPr="003B23DF">
              <w:t xml:space="preserve">» </w:t>
            </w:r>
            <w:r w:rsidR="009133D5">
              <w:t>июл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457ADF">
              <w:t>5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lastRenderedPageBreak/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lastRenderedPageBreak/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DA16C8">
              <w:rPr>
                <w:color w:val="000000" w:themeColor="text1"/>
              </w:rPr>
              <w:t xml:space="preserve">         </w:t>
            </w:r>
            <w:r w:rsidRPr="00334027">
              <w:t>«</w:t>
            </w:r>
            <w:r w:rsidR="009133D5">
              <w:t>0</w:t>
            </w:r>
            <w:r w:rsidR="00E8539A">
              <w:t>4</w:t>
            </w:r>
            <w:r w:rsidRPr="00334027">
              <w:t xml:space="preserve">» </w:t>
            </w:r>
            <w:r w:rsidR="009133D5">
              <w:t>июл</w:t>
            </w:r>
            <w:r w:rsidR="002A6485">
              <w:t>я</w:t>
            </w:r>
            <w:r w:rsidRPr="00334027">
              <w:t xml:space="preserve"> 20</w:t>
            </w:r>
            <w:r>
              <w:t>2</w:t>
            </w:r>
            <w:r w:rsidR="00457ADF">
              <w:t>5</w:t>
            </w:r>
            <w:r w:rsidRPr="00334027">
              <w:t xml:space="preserve"> г.</w:t>
            </w:r>
          </w:p>
          <w:p w:rsidR="00B5314E" w:rsidRPr="00062289" w:rsidRDefault="00B5314E" w:rsidP="00E8539A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A16C8">
              <w:rPr>
                <w:color w:val="000000" w:themeColor="text1"/>
              </w:rPr>
              <w:t xml:space="preserve">   </w:t>
            </w:r>
            <w:r w:rsidR="00E56436" w:rsidRPr="00334027">
              <w:t>«</w:t>
            </w:r>
            <w:r w:rsidR="009133D5">
              <w:t>0</w:t>
            </w:r>
            <w:r w:rsidR="00E8539A">
              <w:t>4</w:t>
            </w:r>
            <w:r w:rsidR="00E56436" w:rsidRPr="00334027">
              <w:t xml:space="preserve">» </w:t>
            </w:r>
            <w:r w:rsidR="009133D5">
              <w:t>июл</w:t>
            </w:r>
            <w:r w:rsidR="002A6485">
              <w:t>я</w:t>
            </w:r>
            <w:r w:rsidR="00E56436" w:rsidRPr="00334027">
              <w:t xml:space="preserve"> 20</w:t>
            </w:r>
            <w:r w:rsidR="00E56436">
              <w:t>2</w:t>
            </w:r>
            <w:r w:rsidR="00457ADF">
              <w:t>5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 xml:space="preserve">ность добровольно повысить рейтинг своих заявок путем снижения первоначальной (указанной в заявке </w:t>
            </w:r>
            <w:r w:rsidRPr="00D73B0B">
              <w:rPr>
                <w:color w:val="000000" w:themeColor="text1"/>
              </w:rPr>
              <w:lastRenderedPageBreak/>
              <w:t>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2A6485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2A6485" w:rsidRPr="002A6485">
        <w:rPr>
          <w:b/>
          <w:i/>
        </w:rPr>
        <w:t>на поставку счетчиков и комплект</w:t>
      </w:r>
      <w:r w:rsidR="002A6485" w:rsidRPr="002A6485">
        <w:rPr>
          <w:b/>
          <w:i/>
        </w:rPr>
        <w:t>у</w:t>
      </w:r>
      <w:r w:rsidR="002A6485" w:rsidRPr="002A6485">
        <w:rPr>
          <w:b/>
          <w:i/>
        </w:rPr>
        <w:t>ющих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 w:rsidRPr="002A6485">
        <w:t>Запрос котировок</w:t>
      </w:r>
      <w:r>
        <w:rPr>
          <w:i/>
        </w:rPr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2A6485" w:rsidRPr="00D95B72">
        <w:rPr>
          <w:bCs/>
          <w:iCs/>
        </w:rPr>
        <w:t>на поставку счетчиков и ко</w:t>
      </w:r>
      <w:r w:rsidR="002A6485" w:rsidRPr="00D95B72">
        <w:rPr>
          <w:bCs/>
          <w:iCs/>
        </w:rPr>
        <w:t>м</w:t>
      </w:r>
      <w:r w:rsidR="002A6485" w:rsidRPr="00D95B72">
        <w:rPr>
          <w:bCs/>
          <w:iCs/>
        </w:rPr>
        <w:t>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конкурса, проект договора, Техническое задание</w:t>
      </w:r>
      <w:r w:rsidR="00457ADF" w:rsidRPr="007C36BE">
        <w:rPr>
          <w:spacing w:val="-6"/>
        </w:rPr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2A6485" w:rsidRPr="002A6485">
        <w:rPr>
          <w:i/>
          <w:sz w:val="22"/>
          <w:szCs w:val="22"/>
          <w:u w:val="single"/>
        </w:rPr>
        <w:t>на поставку счетчиков и компле</w:t>
      </w:r>
      <w:r w:rsidR="002A6485" w:rsidRPr="002A6485">
        <w:rPr>
          <w:i/>
          <w:sz w:val="22"/>
          <w:szCs w:val="22"/>
          <w:u w:val="single"/>
        </w:rPr>
        <w:t>к</w:t>
      </w:r>
      <w:r w:rsidR="002A6485" w:rsidRPr="002A6485">
        <w:rPr>
          <w:i/>
          <w:sz w:val="22"/>
          <w:szCs w:val="22"/>
          <w:u w:val="single"/>
        </w:rPr>
        <w:t>тующих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2A6485" w:rsidRPr="0036206E" w:rsidRDefault="002A6485" w:rsidP="002A6485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Pr="000A3C35" w:rsidRDefault="002A6485" w:rsidP="002A6485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</w:t>
      </w:r>
      <w:r>
        <w:t xml:space="preserve">                            </w:t>
      </w:r>
      <w:r w:rsidRPr="000A3C35">
        <w:t xml:space="preserve">   «____» ________ 20___г.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2A6485" w:rsidRPr="000A3C35" w:rsidRDefault="002A6485" w:rsidP="002A6485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2A6485" w:rsidRPr="000A3C35" w:rsidRDefault="002A6485" w:rsidP="002A6485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>проду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2A6485" w:rsidRPr="000A3C35" w:rsidRDefault="002A6485" w:rsidP="002A6485">
      <w:pPr>
        <w:widowControl w:val="0"/>
        <w:spacing w:after="0"/>
      </w:pPr>
    </w:p>
    <w:bookmarkEnd w:id="41"/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Pr="00A16008"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lastRenderedPageBreak/>
        <w:t>ции от транспортной компании к Заказчику, либо от Поставщика к Заказчику.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2A6485" w:rsidRPr="000A3C35" w:rsidRDefault="002A6485" w:rsidP="002A6485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2A6485" w:rsidRPr="000A3C35" w:rsidRDefault="002A6485" w:rsidP="002A6485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2A6485" w:rsidRPr="000A3C35" w:rsidRDefault="002A6485" w:rsidP="002A6485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2A6485" w:rsidRPr="000A3C35" w:rsidRDefault="002A6485" w:rsidP="002A6485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2A6485" w:rsidRPr="000A3C35" w:rsidRDefault="002A6485" w:rsidP="002A6485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2A6485" w:rsidRPr="000A3C35" w:rsidRDefault="002A6485" w:rsidP="002A6485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2A6485" w:rsidRPr="000A3C35" w:rsidRDefault="002A6485" w:rsidP="002A6485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2A6485" w:rsidRPr="000A3C35" w:rsidRDefault="002A6485" w:rsidP="002A6485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2A6485" w:rsidRPr="000A3C35" w:rsidRDefault="002A6485" w:rsidP="002A6485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2A6485" w:rsidRPr="000A3C35" w:rsidRDefault="002A6485" w:rsidP="002A6485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2A6485" w:rsidRPr="000A3C35" w:rsidRDefault="002A6485" w:rsidP="002A6485">
      <w:pPr>
        <w:shd w:val="clear" w:color="auto" w:fill="FFFFFF"/>
      </w:pPr>
      <w:r w:rsidRPr="000A3C35"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lastRenderedPageBreak/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2A6485" w:rsidRPr="000A3C35" w:rsidRDefault="002A6485" w:rsidP="002A6485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2A6485" w:rsidRPr="000A3C35" w:rsidRDefault="002A6485" w:rsidP="002A6485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2A6485" w:rsidRPr="000A3C35" w:rsidRDefault="002A6485" w:rsidP="002A6485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2A6485" w:rsidRPr="000A3C35" w:rsidRDefault="002A6485" w:rsidP="002A6485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2A6485" w:rsidRPr="000A3C35" w:rsidRDefault="002A6485" w:rsidP="002A6485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Pr="00A1600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</w:t>
      </w:r>
      <w:r w:rsidR="00025A5D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Pr="00A1600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2A6485" w:rsidRPr="000A3C35" w:rsidRDefault="002A6485" w:rsidP="002A6485">
      <w:pPr>
        <w:widowControl w:val="0"/>
        <w:spacing w:after="0"/>
        <w:rPr>
          <w:b/>
        </w:rPr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2A6485" w:rsidRPr="000A3C35" w:rsidTr="009133D5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6485" w:rsidRPr="000A3C35" w:rsidRDefault="002A6485" w:rsidP="009133D5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6485" w:rsidRPr="000A3C35" w:rsidRDefault="009133D5" w:rsidP="009133D5">
            <w:pPr>
              <w:widowControl w:val="0"/>
              <w:spacing w:after="0"/>
              <w:jc w:val="center"/>
            </w:pPr>
            <w:r>
              <w:t>ЗАКАЗЧИК</w:t>
            </w:r>
            <w:r w:rsidR="002A6485" w:rsidRPr="000A3C35">
              <w:t>:</w:t>
            </w:r>
          </w:p>
        </w:tc>
      </w:tr>
      <w:tr w:rsidR="002A6485" w:rsidRPr="000A3C35" w:rsidTr="009133D5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A6485" w:rsidRPr="000A3C35" w:rsidRDefault="002A6485" w:rsidP="009133D5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A6485" w:rsidRPr="000A3C35" w:rsidRDefault="002A6485" w:rsidP="009133D5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ИНН 4223052779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КПП 422301001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 xml:space="preserve">/с:     </w:t>
            </w:r>
            <w:r w:rsidRPr="00A16008">
              <w:t>40702810123040001852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БИК:  </w:t>
            </w:r>
            <w:r w:rsidRPr="00A16008">
              <w:t>045004774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к/с:    </w:t>
            </w:r>
            <w:r w:rsidRPr="00A16008">
              <w:t>30101810600000000774</w:t>
            </w:r>
          </w:p>
        </w:tc>
      </w:tr>
      <w:tr w:rsidR="002A6485" w:rsidRPr="000A3C35" w:rsidTr="009133D5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6485" w:rsidRPr="000A3C35" w:rsidRDefault="002A6485" w:rsidP="009133D5">
            <w:pPr>
              <w:widowControl w:val="0"/>
              <w:spacing w:after="0"/>
            </w:pPr>
          </w:p>
          <w:p w:rsidR="002A6485" w:rsidRPr="000A3C35" w:rsidRDefault="002A6485" w:rsidP="009133D5">
            <w:pPr>
              <w:widowControl w:val="0"/>
              <w:spacing w:after="0"/>
            </w:pPr>
          </w:p>
          <w:p w:rsidR="002A6485" w:rsidRPr="000A3C35" w:rsidRDefault="002A6485" w:rsidP="009133D5">
            <w:pPr>
              <w:widowControl w:val="0"/>
              <w:spacing w:after="0"/>
            </w:pP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ООО «ОЭСК»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2A6485" w:rsidRPr="000A3C35" w:rsidRDefault="002A6485" w:rsidP="009133D5">
            <w:pPr>
              <w:widowControl w:val="0"/>
              <w:spacing w:after="0"/>
            </w:pP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2A6485" w:rsidRPr="000A3C35" w:rsidRDefault="002A6485" w:rsidP="009133D5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2A6485" w:rsidRDefault="002A6485" w:rsidP="002A6485">
      <w:pPr>
        <w:tabs>
          <w:tab w:val="left" w:pos="5670"/>
        </w:tabs>
        <w:spacing w:after="0"/>
        <w:jc w:val="center"/>
        <w:rPr>
          <w:b/>
        </w:rPr>
      </w:pPr>
    </w:p>
    <w:p w:rsidR="002A6485" w:rsidRDefault="002A6485" w:rsidP="002A6485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2A6485" w:rsidTr="009133D5">
        <w:tc>
          <w:tcPr>
            <w:tcW w:w="1668" w:type="dxa"/>
            <w:hideMark/>
          </w:tcPr>
          <w:p w:rsidR="002A6485" w:rsidRDefault="002A6485" w:rsidP="009133D5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80D167D" wp14:editId="69249A11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2A6485" w:rsidRDefault="002A6485" w:rsidP="009133D5">
            <w:pPr>
              <w:spacing w:after="0"/>
              <w:rPr>
                <w:i/>
                <w:iCs/>
              </w:rPr>
            </w:pPr>
          </w:p>
        </w:tc>
      </w:tr>
    </w:tbl>
    <w:p w:rsidR="002A6485" w:rsidRPr="00B01286" w:rsidRDefault="002A6485" w:rsidP="002A6485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2A6485" w:rsidRPr="00B01286" w:rsidTr="009133D5">
        <w:tc>
          <w:tcPr>
            <w:tcW w:w="6237" w:type="dxa"/>
          </w:tcPr>
          <w:p w:rsidR="002A6485" w:rsidRPr="00B01286" w:rsidRDefault="002A6485" w:rsidP="009133D5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A6485" w:rsidRPr="00B01286" w:rsidRDefault="002A6485" w:rsidP="009133D5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2A6485" w:rsidRPr="00B01286" w:rsidRDefault="002A6485" w:rsidP="009133D5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2A6485" w:rsidRPr="00B01286" w:rsidRDefault="002A6485" w:rsidP="009133D5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2A6485" w:rsidRPr="00B01286" w:rsidRDefault="002A6485" w:rsidP="009133D5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2A6485" w:rsidRPr="00B01286" w:rsidRDefault="002A6485" w:rsidP="009133D5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2A6485" w:rsidRPr="00B01286" w:rsidRDefault="002A6485" w:rsidP="009133D5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2A6485" w:rsidRDefault="002A6485" w:rsidP="002A6485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10064"/>
      </w:tblGrid>
      <w:tr w:rsidR="002A6485" w:rsidTr="009133D5">
        <w:trPr>
          <w:trHeight w:val="627"/>
        </w:trPr>
        <w:tc>
          <w:tcPr>
            <w:tcW w:w="10368" w:type="dxa"/>
          </w:tcPr>
          <w:p w:rsidR="002A6485" w:rsidRPr="00B01286" w:rsidRDefault="002A6485" w:rsidP="009133D5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2A6485" w:rsidRPr="00157B61" w:rsidRDefault="002A6485" w:rsidP="009133D5">
            <w:pPr>
              <w:pStyle w:val="2"/>
              <w:widowControl w:val="0"/>
              <w:suppressAutoHyphens/>
            </w:pPr>
            <w:r w:rsidRPr="00D95B72">
              <w:rPr>
                <w:bCs/>
                <w:iCs/>
                <w:sz w:val="24"/>
                <w:szCs w:val="24"/>
              </w:rPr>
              <w:t>на поставку счетчиков и комплектующих</w:t>
            </w:r>
            <w:r w:rsidRPr="00041458">
              <w:rPr>
                <w:bCs/>
                <w:iCs/>
              </w:rPr>
              <w:t xml:space="preserve"> </w:t>
            </w:r>
            <w:r w:rsidRPr="00D95B72">
              <w:rPr>
                <w:bCs/>
                <w:iCs/>
                <w:sz w:val="24"/>
                <w:szCs w:val="24"/>
              </w:rPr>
              <w:t>для ООО «ОЭСК»</w:t>
            </w:r>
          </w:p>
        </w:tc>
      </w:tr>
    </w:tbl>
    <w:p w:rsidR="002A6485" w:rsidRPr="00B01286" w:rsidRDefault="002A6485" w:rsidP="002A6485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2A6485" w:rsidRPr="00B01286" w:rsidRDefault="002A6485" w:rsidP="002A6485">
      <w:pPr>
        <w:pStyle w:val="ListBul2"/>
        <w:tabs>
          <w:tab w:val="clear" w:pos="360"/>
        </w:tabs>
        <w:ind w:left="0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tbl>
      <w:tblPr>
        <w:tblW w:w="907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946"/>
        <w:gridCol w:w="709"/>
        <w:gridCol w:w="848"/>
      </w:tblGrid>
      <w:tr w:rsidR="002A6485" w:rsidRPr="00B01286" w:rsidTr="009133D5">
        <w:trPr>
          <w:trHeight w:val="44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6485" w:rsidRPr="00B01286" w:rsidRDefault="002A6485" w:rsidP="009133D5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2A6485" w:rsidRPr="00B01286" w:rsidRDefault="002A6485" w:rsidP="009133D5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A6485" w:rsidRPr="00B01286" w:rsidRDefault="002A6485" w:rsidP="009133D5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2A6485" w:rsidRPr="00B01286" w:rsidRDefault="002A6485" w:rsidP="009133D5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2A6485" w:rsidRPr="00B01286" w:rsidTr="009133D5">
        <w:trPr>
          <w:trHeight w:val="260"/>
        </w:trPr>
        <w:tc>
          <w:tcPr>
            <w:tcW w:w="567" w:type="dxa"/>
            <w:shd w:val="clear" w:color="auto" w:fill="auto"/>
            <w:hideMark/>
          </w:tcPr>
          <w:p w:rsidR="002A6485" w:rsidRPr="00B01286" w:rsidRDefault="002A6485" w:rsidP="009133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46" w:type="dxa"/>
            <w:shd w:val="clear" w:color="000000" w:fill="FFFFFF"/>
            <w:hideMark/>
          </w:tcPr>
          <w:p w:rsidR="002A6485" w:rsidRPr="00B01286" w:rsidRDefault="002A6485" w:rsidP="009133D5">
            <w:pPr>
              <w:contextualSpacing/>
              <w:jc w:val="left"/>
              <w:rPr>
                <w:sz w:val="22"/>
                <w:szCs w:val="22"/>
              </w:rPr>
            </w:pPr>
            <w:r w:rsidRPr="00717835">
              <w:t>Прибор учета однофазный</w:t>
            </w:r>
            <w:r>
              <w:t xml:space="preserve">; </w:t>
            </w:r>
            <w:r w:rsidRPr="00717835">
              <w:rPr>
                <w:sz w:val="22"/>
                <w:szCs w:val="22"/>
              </w:rPr>
              <w:t>Мин/Максимальный ток: 5(60)А</w:t>
            </w:r>
            <w:r>
              <w:rPr>
                <w:sz w:val="22"/>
                <w:szCs w:val="22"/>
              </w:rPr>
              <w:t xml:space="preserve">; </w:t>
            </w:r>
            <w:r w:rsidRPr="00717835">
              <w:rPr>
                <w:sz w:val="22"/>
                <w:szCs w:val="22"/>
              </w:rPr>
              <w:t>Ном</w:t>
            </w:r>
            <w:r w:rsidRPr="00717835">
              <w:rPr>
                <w:sz w:val="22"/>
                <w:szCs w:val="22"/>
              </w:rPr>
              <w:t>и</w:t>
            </w:r>
            <w:r w:rsidRPr="00717835">
              <w:rPr>
                <w:sz w:val="22"/>
                <w:szCs w:val="22"/>
              </w:rPr>
              <w:t>нальное напряжение: 230В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hideMark/>
          </w:tcPr>
          <w:p w:rsidR="002A6485" w:rsidRPr="00B01286" w:rsidRDefault="002A6485" w:rsidP="009133D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2A6485" w:rsidRPr="00520D7B" w:rsidRDefault="00520D7B" w:rsidP="00913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2A6485" w:rsidRPr="00B01286" w:rsidTr="009133D5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9133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9133D5">
            <w:pPr>
              <w:contextualSpacing/>
              <w:jc w:val="left"/>
            </w:pPr>
            <w:r w:rsidRPr="00717835">
              <w:rPr>
                <w:sz w:val="22"/>
                <w:szCs w:val="22"/>
              </w:rPr>
              <w:t>Корпус антивандальный для однофазного прибора учета с креплением под стальную монтажную ленту</w:t>
            </w:r>
            <w:r>
              <w:rPr>
                <w:sz w:val="22"/>
                <w:szCs w:val="22"/>
              </w:rPr>
              <w:t xml:space="preserve">; </w:t>
            </w:r>
            <w:r w:rsidRPr="00717835">
              <w:t>Класс защиты: 54 IP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9133D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520D7B" w:rsidRDefault="00520D7B" w:rsidP="00913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2A6485" w:rsidRPr="00B01286" w:rsidTr="009133D5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9133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9133D5">
            <w:pPr>
              <w:contextualSpacing/>
              <w:jc w:val="left"/>
            </w:pPr>
            <w:r w:rsidRPr="00717835">
              <w:t>Прибор учета трехфазный, прямоточный</w:t>
            </w:r>
            <w:r>
              <w:t>; Мин/Максимальный ток: 10(100)А; Номинальное напряжение: 3х230/400В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9133D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520D7B" w:rsidRDefault="00520D7B" w:rsidP="00913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A6485" w:rsidRPr="00B01286" w:rsidTr="009133D5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9133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9133D5">
            <w:pPr>
              <w:contextualSpacing/>
              <w:jc w:val="left"/>
            </w:pPr>
            <w:r w:rsidRPr="00717835">
              <w:t>Корпус антивандальный для трехфазного прибора учета с кре</w:t>
            </w:r>
            <w:r w:rsidRPr="00717835">
              <w:t>п</w:t>
            </w:r>
            <w:r w:rsidRPr="00717835">
              <w:t>лением под стальную монтажную ленту</w:t>
            </w:r>
            <w:r>
              <w:t xml:space="preserve">; </w:t>
            </w:r>
            <w:r w:rsidRPr="00717835">
              <w:t>Класс защиты: 54 IP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9133D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520D7B" w:rsidRDefault="00520D7B" w:rsidP="00913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2A6485" w:rsidRP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2A6485" w:rsidRPr="00B01286" w:rsidRDefault="002A6485" w:rsidP="002A6485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2A6485" w:rsidRPr="00047AD4" w:rsidRDefault="002A6485" w:rsidP="002A6485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Pr="00B227BF">
        <w:rPr>
          <w:szCs w:val="22"/>
        </w:rPr>
        <w:t>30</w:t>
      </w:r>
      <w:r w:rsidRPr="004C453C">
        <w:rPr>
          <w:szCs w:val="22"/>
        </w:rPr>
        <w:t xml:space="preserve"> </w:t>
      </w:r>
      <w:r>
        <w:rPr>
          <w:szCs w:val="22"/>
        </w:rPr>
        <w:t>ию</w:t>
      </w:r>
      <w:r w:rsidR="00025A5D">
        <w:rPr>
          <w:szCs w:val="22"/>
        </w:rPr>
        <w:t>л</w:t>
      </w:r>
      <w:r>
        <w:rPr>
          <w:szCs w:val="22"/>
        </w:rPr>
        <w:t>я</w:t>
      </w:r>
      <w:r w:rsidRPr="004C453C">
        <w:rPr>
          <w:szCs w:val="22"/>
        </w:rPr>
        <w:t xml:space="preserve"> 202</w:t>
      </w:r>
      <w:r>
        <w:rPr>
          <w:szCs w:val="22"/>
        </w:rPr>
        <w:t>5</w:t>
      </w:r>
      <w:r w:rsidRPr="004C453C">
        <w:rPr>
          <w:szCs w:val="22"/>
        </w:rPr>
        <w:t xml:space="preserve"> г</w:t>
      </w:r>
      <w:r>
        <w:rPr>
          <w:szCs w:val="22"/>
        </w:rPr>
        <w:t xml:space="preserve">. </w:t>
      </w:r>
    </w:p>
    <w:p w:rsid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 xml:space="preserve"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2A6485" w:rsidRPr="00B01286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2A6485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B01286">
        <w:rPr>
          <w:sz w:val="22"/>
          <w:szCs w:val="22"/>
        </w:rPr>
        <w:t>р</w:t>
      </w:r>
      <w:r w:rsidRPr="00B01286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B01286">
        <w:rPr>
          <w:sz w:val="22"/>
          <w:szCs w:val="22"/>
        </w:rPr>
        <w:t>у</w:t>
      </w:r>
      <w:r w:rsidRPr="00B01286">
        <w:rPr>
          <w:sz w:val="22"/>
          <w:szCs w:val="22"/>
        </w:rPr>
        <w:t>ющих  нормативных документов России.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 xml:space="preserve">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25</w:t>
      </w:r>
      <w:r w:rsidR="009133D5">
        <w:rPr>
          <w:sz w:val="22"/>
          <w:szCs w:val="22"/>
        </w:rPr>
        <w:t xml:space="preserve"> года, и внесен в государственный реестр средств измерений.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 С продукцией поставляются в полном объеме паспорта, сертификаты и иная необходимая для экспл</w:t>
      </w:r>
      <w:r w:rsidRPr="00B01286">
        <w:rPr>
          <w:sz w:val="22"/>
          <w:szCs w:val="22"/>
        </w:rPr>
        <w:t>у</w:t>
      </w:r>
      <w:r w:rsidRPr="00B01286">
        <w:rPr>
          <w:sz w:val="22"/>
          <w:szCs w:val="22"/>
        </w:rPr>
        <w:t>атации документация на русском языке на бумажном носителе.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2A6485" w:rsidRPr="00B01286" w:rsidRDefault="002A6485" w:rsidP="002A6485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B01286">
        <w:rPr>
          <w:sz w:val="22"/>
          <w:szCs w:val="22"/>
        </w:rPr>
        <w:t>к</w:t>
      </w:r>
      <w:r w:rsidRPr="00B01286">
        <w:rPr>
          <w:sz w:val="22"/>
          <w:szCs w:val="22"/>
        </w:rPr>
        <w:t>ции, изготовленной заводом-изготовителем.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 xml:space="preserve">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мещение груза при перевозке, воздействие атмосферных осадков.</w:t>
      </w:r>
    </w:p>
    <w:p w:rsidR="002A6485" w:rsidRPr="00B01286" w:rsidRDefault="002A6485" w:rsidP="002A6485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B01286">
        <w:rPr>
          <w:rFonts w:ascii="Times New Roman" w:hAnsi="Times New Roman"/>
        </w:rPr>
        <w:t>а</w:t>
      </w:r>
      <w:r w:rsidRPr="00B01286">
        <w:rPr>
          <w:rFonts w:ascii="Times New Roman" w:hAnsi="Times New Roman"/>
        </w:rPr>
        <w:t>казчика.</w:t>
      </w:r>
    </w:p>
    <w:p w:rsidR="002A6485" w:rsidRPr="00B01286" w:rsidRDefault="002A6485" w:rsidP="002A6485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2A6485" w:rsidRPr="00B01286" w:rsidRDefault="002A6485" w:rsidP="002A6485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2A6485" w:rsidRPr="00B01286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</w:t>
      </w:r>
      <w:r w:rsidRPr="00B01286">
        <w:rPr>
          <w:rFonts w:ascii="Times New Roman" w:hAnsi="Times New Roman"/>
        </w:rPr>
        <w:t>в</w:t>
      </w:r>
      <w:r w:rsidRPr="00B01286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риально-технические, производственные, трудовые);</w:t>
      </w: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B01286">
        <w:rPr>
          <w:rFonts w:ascii="Times New Roman" w:hAnsi="Times New Roman"/>
        </w:rPr>
        <w:t>к</w:t>
      </w:r>
      <w:r w:rsidRPr="00B01286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2A6485" w:rsidRPr="00B01286" w:rsidRDefault="002A6485" w:rsidP="002A6485">
      <w:pPr>
        <w:pStyle w:val="Style5"/>
        <w:widowControl/>
        <w:rPr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Начальник ОРСУ</w:t>
      </w:r>
      <w:r w:rsidRPr="00B01286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Н.Н. Тищенко</w:t>
      </w:r>
    </w:p>
    <w:p w:rsidR="002A6485" w:rsidRPr="00B01286" w:rsidRDefault="002A6485" w:rsidP="002A6485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2A6485" w:rsidRPr="00157B61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2A6485" w:rsidRDefault="002A6485" w:rsidP="002A6485"/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3D5" w:rsidRDefault="009133D5">
      <w:r>
        <w:separator/>
      </w:r>
    </w:p>
  </w:endnote>
  <w:endnote w:type="continuationSeparator" w:id="0">
    <w:p w:rsidR="009133D5" w:rsidRDefault="0091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3D5" w:rsidRDefault="009133D5">
      <w:r>
        <w:separator/>
      </w:r>
    </w:p>
  </w:footnote>
  <w:footnote w:type="continuationSeparator" w:id="0">
    <w:p w:rsidR="009133D5" w:rsidRDefault="00913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D5" w:rsidRPr="00A80EBF" w:rsidRDefault="009133D5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E8539A">
      <w:rPr>
        <w:sz w:val="20"/>
      </w:rPr>
      <w:t>5</w:t>
    </w:r>
    <w:r w:rsidRPr="00A80EBF">
      <w:rPr>
        <w:sz w:val="20"/>
      </w:rPr>
      <w:fldChar w:fldCharType="end"/>
    </w:r>
  </w:p>
  <w:p w:rsidR="009133D5" w:rsidRDefault="009133D5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D5" w:rsidRDefault="009133D5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133D5" w:rsidRDefault="009133D5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D5" w:rsidRPr="00A80EBF" w:rsidRDefault="009133D5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25A5D">
      <w:rPr>
        <w:sz w:val="20"/>
      </w:rPr>
      <w:t>20</w:t>
    </w:r>
    <w:r w:rsidRPr="00A80EBF">
      <w:rPr>
        <w:sz w:val="20"/>
      </w:rPr>
      <w:fldChar w:fldCharType="end"/>
    </w:r>
  </w:p>
  <w:p w:rsidR="009133D5" w:rsidRDefault="009133D5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D5" w:rsidRPr="00110B92" w:rsidRDefault="009133D5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025A5D">
      <w:rPr>
        <w:sz w:val="20"/>
      </w:rPr>
      <w:t>39</w:t>
    </w:r>
    <w:r w:rsidRPr="00110B92">
      <w:rPr>
        <w:sz w:val="20"/>
      </w:rPr>
      <w:fldChar w:fldCharType="end"/>
    </w:r>
  </w:p>
  <w:p w:rsidR="009133D5" w:rsidRDefault="009133D5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5A5D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6A38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05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DE8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C58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485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57ADF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49F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0D7B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5BFB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C79F6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0167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542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1E4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33D5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4A8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4539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69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6E54"/>
    <w:rsid w:val="00D27ACA"/>
    <w:rsid w:val="00D27D4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6C8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39A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3196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3487-C5CF-43FE-BE43-BF827730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39</Pages>
  <Words>9164</Words>
  <Characters>69106</Characters>
  <Application>Microsoft Office Word</Application>
  <DocSecurity>0</DocSecurity>
  <Lines>575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78114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60</cp:revision>
  <cp:lastPrinted>2025-06-25T02:36:00Z</cp:lastPrinted>
  <dcterms:created xsi:type="dcterms:W3CDTF">2019-07-11T08:24:00Z</dcterms:created>
  <dcterms:modified xsi:type="dcterms:W3CDTF">2025-06-26T03:24:00Z</dcterms:modified>
</cp:coreProperties>
</file>